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46C85169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14:paraId="55886C80" w14:textId="1B906618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 President,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 xml:space="preserve"> Miles G. Vega, Past President,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Jeff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Keele</w:t>
                            </w:r>
                            <w:proofErr w:type="spellEnd"/>
                            <w:r w:rsidR="00395AED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VP Kathryn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Benander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, Secretary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Matthew Flummer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EE2F3F">
                              <w:rPr>
                                <w:rFonts w:asciiTheme="minorHAnsi" w:hAnsiTheme="minorHAnsi"/>
                              </w:rPr>
                              <w:t>Stephanie Cortez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Miguel Ruelas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Rickelle</w:t>
                            </w:r>
                            <w:proofErr w:type="spellEnd"/>
                            <w:r w:rsidR="00A3586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 w:rsidR="00A35862">
                              <w:rPr>
                                <w:rFonts w:asciiTheme="minorHAnsi" w:hAnsiTheme="minorHAnsi"/>
                              </w:rPr>
                              <w:t>Syrdahl</w:t>
                            </w:r>
                            <w:proofErr w:type="spellEnd"/>
                            <w:r w:rsidR="00A35862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A35862">
                              <w:rPr>
                                <w:rFonts w:asciiTheme="minorHAnsi" w:hAnsiTheme="minorHAnsi"/>
                              </w:rPr>
                              <w:t>Beverly Ward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, David Kavern, </w:t>
                            </w:r>
                            <w:r w:rsidR="004210C9">
                              <w:rPr>
                                <w:rFonts w:asciiTheme="minorHAnsi" w:hAnsiTheme="minorHAnsi"/>
                              </w:rPr>
                              <w:t>Patty</w:t>
                            </w:r>
                            <w:r w:rsidR="00BB4DB7">
                              <w:rPr>
                                <w:rFonts w:asciiTheme="minorHAnsi" w:hAnsiTheme="minorHAnsi"/>
                              </w:rPr>
                              <w:t xml:space="preserve"> Serrato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 xml:space="preserve"> Sarah Rector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335FD">
                              <w:rPr>
                                <w:rFonts w:asciiTheme="minorHAnsi" w:hAnsiTheme="minorHAnsi"/>
                              </w:rPr>
                              <w:t>Adjunct Rep Robert Haynes</w:t>
                            </w:r>
                          </w:p>
                          <w:p w14:paraId="6DB74AC8" w14:textId="77777777" w:rsidR="004F6DF3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BCC428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="004F6DF3"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>:  Joel Wien</w:t>
                            </w:r>
                            <w:r w:rsidR="00DB0E5F">
                              <w:rPr>
                                <w:rFonts w:asciiTheme="minorHAnsi" w:hAnsiTheme="minorHAnsi"/>
                              </w:rPr>
                              <w:t xml:space="preserve">s (Foundation Rep), </w:t>
                            </w:r>
                            <w:r w:rsidR="00D927A1">
                              <w:rPr>
                                <w:rFonts w:asciiTheme="minorHAnsi" w:hAnsiTheme="minorHAnsi"/>
                              </w:rPr>
                              <w:t>Richard Goode</w:t>
                            </w:r>
                            <w:r w:rsidR="004F6DF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(Curriculum), </w:t>
                            </w:r>
                            <w:r w:rsidR="00E05AF9">
                              <w:rPr>
                                <w:rFonts w:asciiTheme="minorHAnsi" w:hAnsiTheme="minorHAnsi"/>
                              </w:rPr>
                              <w:t>Rebecca Baird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(CCA), </w:t>
                            </w:r>
                            <w:r w:rsidR="009A66C8">
                              <w:rPr>
                                <w:rFonts w:asciiTheme="minorHAnsi" w:hAnsiTheme="minorHAnsi"/>
                              </w:rPr>
                              <w:t>Melissa Long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DA7476" w14:textId="77777777" w:rsidR="009A66C8" w:rsidRP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2B29780" w14:textId="77777777" w:rsidR="009A66C8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D07CBC9" w14:textId="77777777" w:rsidR="00E02200" w:rsidRPr="009A66C8" w:rsidRDefault="00E02200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0DD458EB" w14:textId="77777777" w:rsidR="00EE2F3F" w:rsidRPr="00EE2F3F" w:rsidRDefault="00A454A2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Drop dates for students</w:t>
                            </w:r>
                            <w:r w:rsidR="00EE2F3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(Update)</w:t>
                            </w:r>
                          </w:p>
                          <w:p w14:paraId="7917187D" w14:textId="77777777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Online/Face-to-face</w:t>
                            </w:r>
                          </w:p>
                          <w:p w14:paraId="41406428" w14:textId="77777777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Mandatory Online Training</w:t>
                            </w:r>
                          </w:p>
                          <w:p w14:paraId="5101B919" w14:textId="77777777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Social Justice Team</w:t>
                            </w:r>
                          </w:p>
                          <w:p w14:paraId="35C0126F" w14:textId="77777777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Flex Agenda</w:t>
                            </w:r>
                          </w:p>
                          <w:p w14:paraId="3B877E9F" w14:textId="77777777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New executive members</w:t>
                            </w:r>
                          </w:p>
                          <w:p w14:paraId="52A51DBB" w14:textId="77777777" w:rsidR="00EE2F3F" w:rsidRPr="00EE2F3F" w:rsidRDefault="00EE2F3F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Dual Enrollment</w:t>
                            </w:r>
                          </w:p>
                          <w:p w14:paraId="6475358D" w14:textId="77777777" w:rsidR="00D261C1" w:rsidRPr="00D261C1" w:rsidRDefault="00D261C1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Committee Request Form</w:t>
                            </w:r>
                          </w:p>
                          <w:p w14:paraId="595A5E2C" w14:textId="48E3C123" w:rsidR="0035266D" w:rsidRPr="00A454A2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454A2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ADB9E6A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593FF1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14:paraId="38F6EF12" w14:textId="77777777" w:rsidR="0035266D" w:rsidRPr="0078477C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78477C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680337" w14:textId="77777777" w:rsidR="0035266D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777777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14:paraId="55886C80" w14:textId="1B906618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>: President,</w:t>
                      </w:r>
                      <w:r w:rsidR="004210C9">
                        <w:rPr>
                          <w:rFonts w:asciiTheme="minorHAnsi" w:hAnsiTheme="minorHAnsi"/>
                        </w:rPr>
                        <w:t xml:space="preserve"> Miles G. Vega, Past President, </w:t>
                      </w:r>
                      <w:r w:rsidR="00A35862">
                        <w:rPr>
                          <w:rFonts w:asciiTheme="minorHAnsi" w:hAnsiTheme="minorHAnsi"/>
                        </w:rPr>
                        <w:t>Jeff Keele</w:t>
                      </w:r>
                      <w:r w:rsidR="00395AED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9A66C8">
                        <w:rPr>
                          <w:rFonts w:asciiTheme="minorHAnsi" w:hAnsiTheme="minorHAnsi"/>
                        </w:rPr>
                        <w:t>VP Kathryn</w:t>
                      </w:r>
                      <w:r>
                        <w:rPr>
                          <w:rFonts w:asciiTheme="minorHAnsi" w:hAnsiTheme="minorHAnsi"/>
                        </w:rPr>
                        <w:t xml:space="preserve"> Benander, Secretary 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Matthew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Flummer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EE2F3F">
                        <w:rPr>
                          <w:rFonts w:asciiTheme="minorHAnsi" w:hAnsiTheme="minorHAnsi"/>
                        </w:rPr>
                        <w:t>Stephanie Cortez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</w:t>
                      </w:r>
                      <w:r w:rsidR="00A35862">
                        <w:rPr>
                          <w:rFonts w:asciiTheme="minorHAnsi" w:hAnsiTheme="minorHAnsi"/>
                        </w:rPr>
                        <w:t>Miguel Ruelas</w:t>
                      </w:r>
                      <w:r>
                        <w:rPr>
                          <w:rFonts w:asciiTheme="minorHAnsi" w:hAnsiTheme="minorHAnsi"/>
                        </w:rPr>
                        <w:t>,</w:t>
                      </w:r>
                      <w:r w:rsidR="00A35862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 w:rsidR="00A35862">
                        <w:rPr>
                          <w:rFonts w:asciiTheme="minorHAnsi" w:hAnsiTheme="minorHAnsi"/>
                        </w:rPr>
                        <w:t>Rickelle</w:t>
                      </w:r>
                      <w:proofErr w:type="spellEnd"/>
                      <w:r w:rsidR="00A35862">
                        <w:rPr>
                          <w:rFonts w:asciiTheme="minorHAnsi" w:hAnsiTheme="minorHAnsi"/>
                        </w:rPr>
                        <w:t xml:space="preserve"> Syrdahl,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A35862">
                        <w:rPr>
                          <w:rFonts w:asciiTheme="minorHAnsi" w:hAnsiTheme="minorHAnsi"/>
                        </w:rPr>
                        <w:t>Beverly Ward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, David Kavern, </w:t>
                      </w:r>
                      <w:r w:rsidR="004210C9">
                        <w:rPr>
                          <w:rFonts w:asciiTheme="minorHAnsi" w:hAnsiTheme="minorHAnsi"/>
                        </w:rPr>
                        <w:t>Patty</w:t>
                      </w:r>
                      <w:r w:rsidR="00BB4DB7">
                        <w:rPr>
                          <w:rFonts w:asciiTheme="minorHAnsi" w:hAnsiTheme="minorHAnsi"/>
                        </w:rPr>
                        <w:t xml:space="preserve"> Serrato</w:t>
                      </w:r>
                      <w:r w:rsidR="009A66C8">
                        <w:rPr>
                          <w:rFonts w:asciiTheme="minorHAnsi" w:hAnsiTheme="minorHAnsi"/>
                        </w:rPr>
                        <w:t>,</w:t>
                      </w:r>
                      <w:r w:rsidR="00D927A1">
                        <w:rPr>
                          <w:rFonts w:asciiTheme="minorHAnsi" w:hAnsiTheme="minorHAnsi"/>
                        </w:rPr>
                        <w:t xml:space="preserve"> Sarah Rector</w:t>
                      </w:r>
                      <w:r w:rsidR="00E335FD">
                        <w:rPr>
                          <w:rFonts w:asciiTheme="minorHAnsi" w:hAnsiTheme="minorHAnsi"/>
                        </w:rPr>
                        <w:t>,</w:t>
                      </w:r>
                      <w:r w:rsidR="009A66C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335FD">
                        <w:rPr>
                          <w:rFonts w:asciiTheme="minorHAnsi" w:hAnsiTheme="minorHAnsi"/>
                        </w:rPr>
                        <w:t>Adjunct Rep Robert Haynes</w:t>
                      </w:r>
                    </w:p>
                    <w:p w14:paraId="6DB74AC8" w14:textId="77777777" w:rsidR="004F6DF3" w:rsidRDefault="004F6DF3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2BBCC428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="004F6DF3"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 w:rsidR="004F6DF3">
                        <w:rPr>
                          <w:rFonts w:asciiTheme="minorHAnsi" w:hAnsiTheme="minorHAnsi"/>
                        </w:rPr>
                        <w:t>:  Joel Wien</w:t>
                      </w:r>
                      <w:r w:rsidR="00DB0E5F">
                        <w:rPr>
                          <w:rFonts w:asciiTheme="minorHAnsi" w:hAnsiTheme="minorHAnsi"/>
                        </w:rPr>
                        <w:t xml:space="preserve">s (Foundation Rep), </w:t>
                      </w:r>
                      <w:r w:rsidR="00D927A1">
                        <w:rPr>
                          <w:rFonts w:asciiTheme="minorHAnsi" w:hAnsiTheme="minorHAnsi"/>
                        </w:rPr>
                        <w:t>Richard Goode</w:t>
                      </w:r>
                      <w:r w:rsidR="004F6DF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(Curriculum), </w:t>
                      </w:r>
                      <w:r w:rsidR="00E05AF9">
                        <w:rPr>
                          <w:rFonts w:asciiTheme="minorHAnsi" w:hAnsiTheme="minorHAnsi"/>
                        </w:rPr>
                        <w:t>Rebecca Baird</w:t>
                      </w:r>
                      <w:r>
                        <w:rPr>
                          <w:rFonts w:asciiTheme="minorHAnsi" w:hAnsiTheme="minorHAnsi"/>
                        </w:rPr>
                        <w:t xml:space="preserve"> (CCA), </w:t>
                      </w:r>
                      <w:r w:rsidR="009A66C8">
                        <w:rPr>
                          <w:rFonts w:asciiTheme="minorHAnsi" w:hAnsiTheme="minorHAnsi"/>
                        </w:rPr>
                        <w:t>Melissa Long</w:t>
                      </w:r>
                      <w:r>
                        <w:rPr>
                          <w:rFonts w:asciiTheme="minorHAnsi" w:hAnsiTheme="minorHAnsi"/>
                        </w:rPr>
                        <w:t xml:space="preserve"> (SLO Coordinator), </w:t>
                      </w:r>
                    </w:p>
                    <w:p w14:paraId="03BE02C9" w14:textId="77777777" w:rsidR="009A66C8" w:rsidRDefault="003663D1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14:paraId="2B7D7ABD" w14:textId="77777777" w:rsidR="005970D5" w:rsidRDefault="005970D5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07DA7476" w14:textId="77777777" w:rsidR="009A66C8" w:rsidRP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2B29780" w14:textId="77777777" w:rsidR="009A66C8" w:rsidRDefault="009A66C8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D07CBC9" w14:textId="77777777" w:rsidR="00E02200" w:rsidRPr="009A66C8" w:rsidRDefault="00E02200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0DD458EB" w14:textId="77777777" w:rsidR="00EE2F3F" w:rsidRPr="00EE2F3F" w:rsidRDefault="00A454A2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Drop dates for students</w:t>
                      </w:r>
                      <w:r w:rsidR="00EE2F3F">
                        <w:rPr>
                          <w:rFonts w:asciiTheme="minorHAnsi" w:hAnsiTheme="minorHAnsi"/>
                          <w:sz w:val="22"/>
                        </w:rPr>
                        <w:t xml:space="preserve"> (Update)</w:t>
                      </w:r>
                    </w:p>
                    <w:p w14:paraId="7917187D" w14:textId="77777777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Online/Face-to-face</w:t>
                      </w:r>
                    </w:p>
                    <w:p w14:paraId="41406428" w14:textId="77777777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Mandatory Online Training</w:t>
                      </w:r>
                    </w:p>
                    <w:p w14:paraId="5101B919" w14:textId="77777777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Social Justice Team</w:t>
                      </w:r>
                    </w:p>
                    <w:p w14:paraId="35C0126F" w14:textId="77777777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Flex Agenda</w:t>
                      </w:r>
                    </w:p>
                    <w:p w14:paraId="3B877E9F" w14:textId="77777777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New executive members</w:t>
                      </w:r>
                    </w:p>
                    <w:p w14:paraId="52A51DBB" w14:textId="77777777" w:rsidR="00EE2F3F" w:rsidRPr="00EE2F3F" w:rsidRDefault="00EE2F3F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Dual Enrollment</w:t>
                      </w:r>
                    </w:p>
                    <w:p w14:paraId="6475358D" w14:textId="77777777" w:rsidR="00D261C1" w:rsidRPr="00D261C1" w:rsidRDefault="00D261C1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Committee Request Form</w:t>
                      </w:r>
                    </w:p>
                    <w:p w14:paraId="595A5E2C" w14:textId="48E3C123" w:rsidR="0035266D" w:rsidRPr="00A454A2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  <w:r w:rsidRPr="00A454A2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ADB9E6A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56593FF1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14:paraId="38F6EF12" w14:textId="77777777" w:rsidR="0035266D" w:rsidRPr="0078477C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78477C" w:rsidRDefault="0035266D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17680337" w14:textId="77777777" w:rsidR="0035266D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777777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  <w:proofErr w:type="gramEnd"/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  <w:proofErr w:type="gramEnd"/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student preparation and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success;</w:t>
                      </w:r>
                      <w:proofErr w:type="gramEnd"/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proofErr w:type="gramStart"/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  <w:proofErr w:type="gramEnd"/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  <w:proofErr w:type="gramEnd"/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4CF99F91" w:rsidR="00DC4589" w:rsidRPr="0008536F" w:rsidRDefault="00AE0F5B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September</w:t>
                            </w:r>
                            <w:r w:rsidR="00A454A2"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11</w:t>
                            </w:r>
                            <w:r w:rsidR="00A454A2">
                              <w:rPr>
                                <w:sz w:val="40"/>
                              </w:rPr>
                              <w:t>th</w:t>
                            </w:r>
                            <w:proofErr w:type="gramStart"/>
                            <w:r w:rsidR="00AC42C3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</w:t>
                            </w:r>
                            <w:r w:rsidR="004210C9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r w:rsidR="00912E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20</w:t>
                            </w:r>
                            <w:proofErr w:type="gramEnd"/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DE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4CF99F91" w:rsidR="00DC4589" w:rsidRPr="0008536F" w:rsidRDefault="00AE0F5B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September</w:t>
                      </w:r>
                      <w:r w:rsidR="00A454A2"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11</w:t>
                      </w:r>
                      <w:r w:rsidR="00A454A2">
                        <w:rPr>
                          <w:sz w:val="40"/>
                        </w:rPr>
                        <w:t>th</w:t>
                      </w:r>
                      <w:proofErr w:type="gramStart"/>
                      <w:r w:rsidR="00AC42C3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</w:t>
                      </w:r>
                      <w:r w:rsidR="004210C9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r w:rsidR="00912E6F">
                        <w:rPr>
                          <w:rFonts w:asciiTheme="majorHAnsi" w:hAnsiTheme="majorHAnsi"/>
                          <w:b w:val="0"/>
                          <w:sz w:val="32"/>
                        </w:rPr>
                        <w:t>20</w:t>
                      </w:r>
                      <w:proofErr w:type="gramEnd"/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F3A66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0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1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F5063"/>
    <w:rsid w:val="003125F9"/>
    <w:rsid w:val="00333A48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E5FD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E411B"/>
    <w:rsid w:val="005F4B53"/>
    <w:rsid w:val="006172DF"/>
    <w:rsid w:val="0062256B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90189C"/>
    <w:rsid w:val="00901D42"/>
    <w:rsid w:val="00903CB8"/>
    <w:rsid w:val="00912E6F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B3506"/>
    <w:rsid w:val="009C320C"/>
    <w:rsid w:val="009D6897"/>
    <w:rsid w:val="009E389F"/>
    <w:rsid w:val="00A07CFD"/>
    <w:rsid w:val="00A3078B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50A1E"/>
    <w:rsid w:val="00C5279B"/>
    <w:rsid w:val="00C76334"/>
    <w:rsid w:val="00CA7634"/>
    <w:rsid w:val="00CB77B4"/>
    <w:rsid w:val="00CF3123"/>
    <w:rsid w:val="00CF5B4B"/>
    <w:rsid w:val="00CF7BBD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4589"/>
    <w:rsid w:val="00DD018D"/>
    <w:rsid w:val="00DD5606"/>
    <w:rsid w:val="00DF49AD"/>
    <w:rsid w:val="00E02200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180"/>
    <w:rsid w:val="00EE2F3F"/>
    <w:rsid w:val="00EF65AF"/>
    <w:rsid w:val="00F12722"/>
    <w:rsid w:val="00F27264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0E62-B97B-40AA-9147-AB4C7CD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2020-02-28T01:37:00Z</cp:lastPrinted>
  <dcterms:created xsi:type="dcterms:W3CDTF">2020-09-08T15:30:00Z</dcterms:created>
  <dcterms:modified xsi:type="dcterms:W3CDTF">2020-09-08T15:30:00Z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