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480" w:rsidRPr="00232480" w:rsidRDefault="00232480" w:rsidP="00232480">
      <w:pPr>
        <w:pBdr>
          <w:bottom w:val="single" w:sz="6" w:space="7" w:color="EEEEEE"/>
        </w:pBdr>
        <w:spacing w:before="300" w:after="450" w:line="600" w:lineRule="atLeast"/>
        <w:outlineLvl w:val="0"/>
        <w:rPr>
          <w:rFonts w:ascii="&amp;quot" w:eastAsia="Times New Roman" w:hAnsi="&amp;quot" w:cs="Times New Roman"/>
          <w:b/>
          <w:bCs/>
          <w:color w:val="333333"/>
          <w:kern w:val="36"/>
          <w:sz w:val="58"/>
          <w:szCs w:val="58"/>
        </w:rPr>
      </w:pPr>
      <w:bookmarkStart w:id="0" w:name="_GoBack"/>
      <w:bookmarkEnd w:id="0"/>
      <w:r w:rsidRPr="00232480">
        <w:rPr>
          <w:rFonts w:ascii="&amp;quot" w:eastAsia="Times New Roman" w:hAnsi="&amp;quot" w:cs="Times New Roman"/>
          <w:b/>
          <w:bCs/>
          <w:color w:val="333333"/>
          <w:kern w:val="36"/>
          <w:sz w:val="58"/>
          <w:szCs w:val="58"/>
        </w:rPr>
        <w:t>Enrollment Management Committee</w:t>
      </w:r>
    </w:p>
    <w:p w:rsidR="00232480" w:rsidRPr="00232480" w:rsidRDefault="00D52065" w:rsidP="00232480">
      <w:pPr>
        <w:spacing w:before="150" w:after="150" w:line="600" w:lineRule="atLeast"/>
        <w:outlineLvl w:val="1"/>
        <w:rPr>
          <w:rFonts w:ascii="&amp;quot" w:eastAsia="Times New Roman" w:hAnsi="&amp;quot" w:cs="Times New Roman"/>
          <w:b/>
          <w:bCs/>
          <w:color w:val="333333"/>
          <w:sz w:val="47"/>
          <w:szCs w:val="47"/>
        </w:rPr>
      </w:pPr>
      <w:r>
        <w:rPr>
          <w:rFonts w:ascii="&amp;quot" w:eastAsia="Times New Roman" w:hAnsi="&amp;quot" w:cs="Times New Roman"/>
          <w:b/>
          <w:bCs/>
          <w:color w:val="333333"/>
          <w:sz w:val="47"/>
          <w:szCs w:val="47"/>
        </w:rPr>
        <w:t xml:space="preserve"> </w:t>
      </w:r>
    </w:p>
    <w:p w:rsidR="00232480" w:rsidRDefault="00232480">
      <w:pPr>
        <w:rPr>
          <w:rFonts w:ascii="Helvetica" w:hAnsi="Helvetica" w:cs="Helvetica"/>
          <w:color w:val="333333"/>
          <w:sz w:val="21"/>
          <w:szCs w:val="21"/>
        </w:rPr>
      </w:pPr>
      <w:r>
        <w:rPr>
          <w:rFonts w:ascii="Helvetica" w:hAnsi="Helvetica" w:cs="Helvetica"/>
          <w:color w:val="333333"/>
          <w:sz w:val="21"/>
          <w:szCs w:val="21"/>
        </w:rPr>
        <w:t>Enrollment Management is a comprehensive process designed to help achieve and maintain optimum enrollment (recruitment, retention, graduation rates). It is an institution wide process that permeates virtually every aspect of the College's function and culture. The Committee's primary charge include</w:t>
      </w:r>
      <w:r w:rsidR="002652F3">
        <w:rPr>
          <w:rFonts w:ascii="Helvetica" w:hAnsi="Helvetica" w:cs="Helvetica"/>
          <w:color w:val="333333"/>
          <w:sz w:val="21"/>
          <w:szCs w:val="21"/>
        </w:rPr>
        <w:t>s</w:t>
      </w:r>
      <w:r>
        <w:rPr>
          <w:rFonts w:ascii="Helvetica" w:hAnsi="Helvetica" w:cs="Helvetica"/>
          <w:color w:val="333333"/>
          <w:sz w:val="21"/>
          <w:szCs w:val="21"/>
        </w:rPr>
        <w:t xml:space="preserve"> the following functions: </w:t>
      </w:r>
    </w:p>
    <w:p w:rsidR="00AE4238" w:rsidRPr="00AE4238" w:rsidRDefault="00AE4238">
      <w:pPr>
        <w:rPr>
          <w:rFonts w:ascii="Helvetica" w:hAnsi="Helvetica" w:cs="Helvetica"/>
          <w:color w:val="333333"/>
          <w:sz w:val="21"/>
          <w:szCs w:val="21"/>
          <w:u w:val="single"/>
        </w:rPr>
      </w:pPr>
      <w:r w:rsidRPr="00AE4238">
        <w:rPr>
          <w:rFonts w:ascii="Helvetica" w:hAnsi="Helvetica" w:cs="Helvetica"/>
          <w:color w:val="333333"/>
          <w:sz w:val="21"/>
          <w:szCs w:val="21"/>
          <w:u w:val="single"/>
        </w:rPr>
        <w:t>FUNCTIONS</w:t>
      </w:r>
    </w:p>
    <w:p w:rsidR="007D6941" w:rsidRDefault="007D6941" w:rsidP="007D6941">
      <w:pPr>
        <w:pStyle w:val="ListParagraph"/>
        <w:numPr>
          <w:ilvl w:val="0"/>
          <w:numId w:val="1"/>
        </w:numPr>
        <w:rPr>
          <w:rFonts w:ascii="Helvetica" w:hAnsi="Helvetica" w:cs="Helvetica"/>
          <w:color w:val="333333"/>
          <w:sz w:val="21"/>
          <w:szCs w:val="21"/>
        </w:rPr>
      </w:pPr>
      <w:r>
        <w:rPr>
          <w:rFonts w:ascii="Helvetica" w:hAnsi="Helvetica" w:cs="Helvetica"/>
          <w:color w:val="333333"/>
          <w:sz w:val="21"/>
          <w:szCs w:val="21"/>
        </w:rPr>
        <w:t>E</w:t>
      </w:r>
      <w:r w:rsidR="002652F3">
        <w:rPr>
          <w:rFonts w:ascii="Helvetica" w:hAnsi="Helvetica" w:cs="Helvetica"/>
          <w:color w:val="333333"/>
          <w:sz w:val="21"/>
          <w:szCs w:val="21"/>
        </w:rPr>
        <w:t>nsure</w:t>
      </w:r>
      <w:r w:rsidR="00232480" w:rsidRPr="007D6941">
        <w:rPr>
          <w:rFonts w:ascii="Helvetica" w:hAnsi="Helvetica" w:cs="Helvetica"/>
          <w:color w:val="333333"/>
          <w:sz w:val="21"/>
          <w:szCs w:val="21"/>
        </w:rPr>
        <w:t xml:space="preserve"> that student access and success are our first priorities</w:t>
      </w:r>
      <w:r>
        <w:rPr>
          <w:rFonts w:ascii="Helvetica" w:hAnsi="Helvetica" w:cs="Helvetica"/>
          <w:color w:val="333333"/>
          <w:sz w:val="21"/>
          <w:szCs w:val="21"/>
        </w:rPr>
        <w:t>.</w:t>
      </w:r>
      <w:r w:rsidR="00232480" w:rsidRPr="007D6941">
        <w:rPr>
          <w:rFonts w:ascii="Helvetica" w:hAnsi="Helvetica" w:cs="Helvetica"/>
          <w:color w:val="333333"/>
          <w:sz w:val="21"/>
          <w:szCs w:val="21"/>
        </w:rPr>
        <w:t xml:space="preserve"> </w:t>
      </w:r>
    </w:p>
    <w:p w:rsidR="007D6941" w:rsidRDefault="007D6941" w:rsidP="007D6941">
      <w:pPr>
        <w:pStyle w:val="ListParagraph"/>
        <w:numPr>
          <w:ilvl w:val="0"/>
          <w:numId w:val="1"/>
        </w:numPr>
        <w:rPr>
          <w:rFonts w:ascii="Helvetica" w:hAnsi="Helvetica" w:cs="Helvetica"/>
          <w:color w:val="333333"/>
          <w:sz w:val="21"/>
          <w:szCs w:val="21"/>
        </w:rPr>
      </w:pPr>
      <w:r>
        <w:rPr>
          <w:rFonts w:ascii="Helvetica" w:hAnsi="Helvetica" w:cs="Helvetica"/>
          <w:color w:val="333333"/>
          <w:sz w:val="21"/>
          <w:szCs w:val="21"/>
        </w:rPr>
        <w:t>E</w:t>
      </w:r>
      <w:r w:rsidR="00232480" w:rsidRPr="007D6941">
        <w:rPr>
          <w:rFonts w:ascii="Helvetica" w:hAnsi="Helvetica" w:cs="Helvetica"/>
          <w:color w:val="333333"/>
          <w:sz w:val="21"/>
          <w:szCs w:val="21"/>
        </w:rPr>
        <w:t>n</w:t>
      </w:r>
      <w:r w:rsidR="002652F3">
        <w:rPr>
          <w:rFonts w:ascii="Helvetica" w:hAnsi="Helvetica" w:cs="Helvetica"/>
          <w:color w:val="333333"/>
          <w:sz w:val="21"/>
          <w:szCs w:val="21"/>
        </w:rPr>
        <w:t>sure</w:t>
      </w:r>
      <w:r w:rsidR="00232480" w:rsidRPr="007D6941">
        <w:rPr>
          <w:rFonts w:ascii="Helvetica" w:hAnsi="Helvetica" w:cs="Helvetica"/>
          <w:color w:val="333333"/>
          <w:sz w:val="21"/>
          <w:szCs w:val="21"/>
        </w:rPr>
        <w:t xml:space="preserve"> that course offerings address the core mission of the California Community Colleges: Basic Skills, Career and Technical Education, Transfer with a focus on articulation with four year institutions. </w:t>
      </w:r>
    </w:p>
    <w:p w:rsidR="007D6941" w:rsidRDefault="00232480" w:rsidP="007D6941">
      <w:pPr>
        <w:pStyle w:val="ListParagraph"/>
        <w:numPr>
          <w:ilvl w:val="0"/>
          <w:numId w:val="1"/>
        </w:numPr>
        <w:rPr>
          <w:rFonts w:ascii="Helvetica" w:hAnsi="Helvetica" w:cs="Helvetica"/>
          <w:color w:val="333333"/>
          <w:sz w:val="21"/>
          <w:szCs w:val="21"/>
        </w:rPr>
      </w:pPr>
      <w:r w:rsidRPr="007D6941">
        <w:rPr>
          <w:rFonts w:ascii="Helvetica" w:hAnsi="Helvetica" w:cs="Helvetica"/>
          <w:color w:val="333333"/>
          <w:sz w:val="21"/>
          <w:szCs w:val="21"/>
        </w:rPr>
        <w:t xml:space="preserve">Stabilize enrollments </w:t>
      </w:r>
      <w:r w:rsidR="007D6941">
        <w:rPr>
          <w:rFonts w:ascii="Helvetica" w:hAnsi="Helvetica" w:cs="Helvetica"/>
          <w:color w:val="333333"/>
          <w:sz w:val="21"/>
          <w:szCs w:val="21"/>
        </w:rPr>
        <w:t>to align with new funding formula.</w:t>
      </w:r>
    </w:p>
    <w:p w:rsidR="007D6941" w:rsidRDefault="00232480" w:rsidP="007D6941">
      <w:pPr>
        <w:pStyle w:val="ListParagraph"/>
        <w:numPr>
          <w:ilvl w:val="0"/>
          <w:numId w:val="1"/>
        </w:numPr>
        <w:rPr>
          <w:rFonts w:ascii="Helvetica" w:hAnsi="Helvetica" w:cs="Helvetica"/>
          <w:color w:val="333333"/>
          <w:sz w:val="21"/>
          <w:szCs w:val="21"/>
        </w:rPr>
      </w:pPr>
      <w:r w:rsidRPr="007D6941">
        <w:rPr>
          <w:rFonts w:ascii="Helvetica" w:hAnsi="Helvetica" w:cs="Helvetica"/>
          <w:color w:val="333333"/>
          <w:sz w:val="21"/>
          <w:szCs w:val="21"/>
        </w:rPr>
        <w:t>Integrating instructional and student services programs</w:t>
      </w:r>
      <w:r w:rsidR="007D6941">
        <w:rPr>
          <w:rFonts w:ascii="Helvetica" w:hAnsi="Helvetica" w:cs="Helvetica"/>
          <w:color w:val="333333"/>
          <w:sz w:val="21"/>
          <w:szCs w:val="21"/>
        </w:rPr>
        <w:t>.</w:t>
      </w:r>
      <w:r w:rsidRPr="007D6941">
        <w:rPr>
          <w:rFonts w:ascii="Helvetica" w:hAnsi="Helvetica" w:cs="Helvetica"/>
          <w:color w:val="333333"/>
          <w:sz w:val="21"/>
          <w:szCs w:val="21"/>
        </w:rPr>
        <w:t xml:space="preserve"> </w:t>
      </w:r>
    </w:p>
    <w:p w:rsidR="007D6941" w:rsidRDefault="007D6941" w:rsidP="007D6941">
      <w:pPr>
        <w:pStyle w:val="ListParagraph"/>
        <w:numPr>
          <w:ilvl w:val="0"/>
          <w:numId w:val="1"/>
        </w:numPr>
        <w:rPr>
          <w:rFonts w:ascii="Helvetica" w:hAnsi="Helvetica" w:cs="Helvetica"/>
          <w:color w:val="333333"/>
          <w:sz w:val="21"/>
          <w:szCs w:val="21"/>
        </w:rPr>
      </w:pPr>
      <w:r>
        <w:rPr>
          <w:rFonts w:ascii="Helvetica" w:hAnsi="Helvetica" w:cs="Helvetica"/>
          <w:color w:val="333333"/>
          <w:sz w:val="21"/>
          <w:szCs w:val="21"/>
        </w:rPr>
        <w:t>I</w:t>
      </w:r>
      <w:r w:rsidR="00232480" w:rsidRPr="007D6941">
        <w:rPr>
          <w:rFonts w:ascii="Helvetica" w:hAnsi="Helvetica" w:cs="Helvetica"/>
          <w:color w:val="333333"/>
          <w:sz w:val="21"/>
          <w:szCs w:val="21"/>
        </w:rPr>
        <w:t xml:space="preserve">mproving services (shorten response time to students, increase satisfaction, and </w:t>
      </w:r>
      <w:r>
        <w:rPr>
          <w:rFonts w:ascii="Helvetica" w:hAnsi="Helvetica" w:cs="Helvetica"/>
          <w:color w:val="333333"/>
          <w:sz w:val="21"/>
          <w:szCs w:val="21"/>
        </w:rPr>
        <w:t>increase efficiency</w:t>
      </w:r>
      <w:r w:rsidR="00232480" w:rsidRPr="007D6941">
        <w:rPr>
          <w:rFonts w:ascii="Helvetica" w:hAnsi="Helvetica" w:cs="Helvetica"/>
          <w:color w:val="333333"/>
          <w:sz w:val="21"/>
          <w:szCs w:val="21"/>
        </w:rPr>
        <w:t>)</w:t>
      </w:r>
      <w:r>
        <w:rPr>
          <w:rFonts w:ascii="Helvetica" w:hAnsi="Helvetica" w:cs="Helvetica"/>
          <w:color w:val="333333"/>
          <w:sz w:val="21"/>
          <w:szCs w:val="21"/>
        </w:rPr>
        <w:t>.</w:t>
      </w:r>
      <w:r w:rsidR="00232480" w:rsidRPr="007D6941">
        <w:rPr>
          <w:rFonts w:ascii="Helvetica" w:hAnsi="Helvetica" w:cs="Helvetica"/>
          <w:color w:val="333333"/>
          <w:sz w:val="21"/>
          <w:szCs w:val="21"/>
        </w:rPr>
        <w:t xml:space="preserve"> </w:t>
      </w:r>
    </w:p>
    <w:p w:rsidR="007D6941" w:rsidRDefault="002652F3" w:rsidP="007D6941">
      <w:pPr>
        <w:pStyle w:val="ListParagraph"/>
        <w:numPr>
          <w:ilvl w:val="0"/>
          <w:numId w:val="1"/>
        </w:numPr>
        <w:rPr>
          <w:rFonts w:ascii="Helvetica" w:hAnsi="Helvetica" w:cs="Helvetica"/>
          <w:color w:val="333333"/>
          <w:sz w:val="21"/>
          <w:szCs w:val="21"/>
        </w:rPr>
      </w:pPr>
      <w:r>
        <w:rPr>
          <w:rFonts w:ascii="Helvetica" w:hAnsi="Helvetica" w:cs="Helvetica"/>
          <w:color w:val="333333"/>
          <w:sz w:val="21"/>
          <w:szCs w:val="21"/>
        </w:rPr>
        <w:t>Improve</w:t>
      </w:r>
      <w:r w:rsidR="00232480" w:rsidRPr="007D6941">
        <w:rPr>
          <w:rFonts w:ascii="Helvetica" w:hAnsi="Helvetica" w:cs="Helvetica"/>
          <w:color w:val="333333"/>
          <w:sz w:val="21"/>
          <w:szCs w:val="21"/>
        </w:rPr>
        <w:t xml:space="preserve"> access to information (putting our information systems to optimum usage) </w:t>
      </w:r>
    </w:p>
    <w:p w:rsidR="007D6941" w:rsidRDefault="002652F3" w:rsidP="007D6941">
      <w:pPr>
        <w:pStyle w:val="ListParagraph"/>
        <w:numPr>
          <w:ilvl w:val="0"/>
          <w:numId w:val="1"/>
        </w:numPr>
        <w:rPr>
          <w:rFonts w:ascii="Helvetica" w:hAnsi="Helvetica" w:cs="Helvetica"/>
          <w:color w:val="333333"/>
          <w:sz w:val="21"/>
          <w:szCs w:val="21"/>
        </w:rPr>
      </w:pPr>
      <w:r>
        <w:rPr>
          <w:rFonts w:ascii="Helvetica" w:hAnsi="Helvetica" w:cs="Helvetica"/>
          <w:color w:val="333333"/>
          <w:sz w:val="21"/>
          <w:szCs w:val="21"/>
        </w:rPr>
        <w:t>Respond</w:t>
      </w:r>
      <w:r w:rsidR="007D6941">
        <w:rPr>
          <w:rFonts w:ascii="Helvetica" w:hAnsi="Helvetica" w:cs="Helvetica"/>
          <w:color w:val="333333"/>
          <w:sz w:val="21"/>
          <w:szCs w:val="21"/>
        </w:rPr>
        <w:t xml:space="preserve"> to demographic changes. </w:t>
      </w:r>
    </w:p>
    <w:p w:rsidR="007D6941" w:rsidRDefault="007D6941" w:rsidP="007D6941">
      <w:pPr>
        <w:pStyle w:val="ListParagraph"/>
        <w:numPr>
          <w:ilvl w:val="0"/>
          <w:numId w:val="1"/>
        </w:numPr>
        <w:rPr>
          <w:rFonts w:ascii="Helvetica" w:hAnsi="Helvetica" w:cs="Helvetica"/>
          <w:color w:val="333333"/>
          <w:sz w:val="21"/>
          <w:szCs w:val="21"/>
        </w:rPr>
      </w:pPr>
      <w:r>
        <w:rPr>
          <w:rFonts w:ascii="Helvetica" w:hAnsi="Helvetica" w:cs="Helvetica"/>
          <w:color w:val="333333"/>
          <w:sz w:val="21"/>
          <w:szCs w:val="21"/>
        </w:rPr>
        <w:t>R</w:t>
      </w:r>
      <w:r w:rsidR="002652F3">
        <w:rPr>
          <w:rFonts w:ascii="Helvetica" w:hAnsi="Helvetica" w:cs="Helvetica"/>
          <w:color w:val="333333"/>
          <w:sz w:val="21"/>
          <w:szCs w:val="21"/>
        </w:rPr>
        <w:t>espond</w:t>
      </w:r>
      <w:r w:rsidR="00232480" w:rsidRPr="007D6941">
        <w:rPr>
          <w:rFonts w:ascii="Helvetica" w:hAnsi="Helvetica" w:cs="Helvetica"/>
          <w:color w:val="333333"/>
          <w:sz w:val="21"/>
          <w:szCs w:val="21"/>
        </w:rPr>
        <w:t xml:space="preserve"> to economic forces (expansion, recession, employment rates)</w:t>
      </w:r>
      <w:r>
        <w:rPr>
          <w:rFonts w:ascii="Helvetica" w:hAnsi="Helvetica" w:cs="Helvetica"/>
          <w:color w:val="333333"/>
          <w:sz w:val="21"/>
          <w:szCs w:val="21"/>
        </w:rPr>
        <w:t>.</w:t>
      </w:r>
      <w:r w:rsidR="00232480" w:rsidRPr="007D6941">
        <w:rPr>
          <w:rFonts w:ascii="Helvetica" w:hAnsi="Helvetica" w:cs="Helvetica"/>
          <w:color w:val="333333"/>
          <w:sz w:val="21"/>
          <w:szCs w:val="21"/>
        </w:rPr>
        <w:t xml:space="preserve"> </w:t>
      </w:r>
    </w:p>
    <w:p w:rsidR="00B83B7F" w:rsidRPr="007D6941" w:rsidRDefault="007D6941" w:rsidP="007D6941">
      <w:pPr>
        <w:pStyle w:val="ListParagraph"/>
        <w:numPr>
          <w:ilvl w:val="0"/>
          <w:numId w:val="1"/>
        </w:numPr>
        <w:rPr>
          <w:rFonts w:ascii="Helvetica" w:hAnsi="Helvetica" w:cs="Helvetica"/>
          <w:color w:val="333333"/>
          <w:sz w:val="21"/>
          <w:szCs w:val="21"/>
        </w:rPr>
      </w:pPr>
      <w:r>
        <w:rPr>
          <w:rFonts w:ascii="Helvetica" w:hAnsi="Helvetica" w:cs="Helvetica"/>
          <w:color w:val="333333"/>
          <w:sz w:val="21"/>
          <w:szCs w:val="21"/>
        </w:rPr>
        <w:t>E</w:t>
      </w:r>
      <w:r w:rsidR="002652F3">
        <w:rPr>
          <w:rFonts w:ascii="Helvetica" w:hAnsi="Helvetica" w:cs="Helvetica"/>
          <w:color w:val="333333"/>
          <w:sz w:val="21"/>
          <w:szCs w:val="21"/>
        </w:rPr>
        <w:t>valuate</w:t>
      </w:r>
      <w:r w:rsidR="00232480" w:rsidRPr="007D6941">
        <w:rPr>
          <w:rFonts w:ascii="Helvetica" w:hAnsi="Helvetica" w:cs="Helvetica"/>
          <w:color w:val="333333"/>
          <w:sz w:val="21"/>
          <w:szCs w:val="21"/>
        </w:rPr>
        <w:t xml:space="preserve"> strategies (track what works and change what doesn't work)</w:t>
      </w:r>
      <w:r>
        <w:rPr>
          <w:rFonts w:ascii="Helvetica" w:hAnsi="Helvetica" w:cs="Helvetica"/>
          <w:color w:val="333333"/>
          <w:sz w:val="21"/>
          <w:szCs w:val="21"/>
        </w:rPr>
        <w:t>.</w:t>
      </w:r>
    </w:p>
    <w:p w:rsidR="00AE4238" w:rsidRDefault="00AE4238">
      <w:pPr>
        <w:rPr>
          <w:rFonts w:ascii="Helvetica" w:hAnsi="Helvetica" w:cs="Helvetica"/>
          <w:color w:val="333333"/>
          <w:sz w:val="21"/>
          <w:szCs w:val="21"/>
        </w:rPr>
      </w:pPr>
    </w:p>
    <w:p w:rsidR="00E7299A" w:rsidRDefault="00AE4238">
      <w:pPr>
        <w:rPr>
          <w:rFonts w:ascii="Helvetica" w:hAnsi="Helvetica" w:cs="Helvetica"/>
          <w:b/>
          <w:bCs/>
          <w:color w:val="333333"/>
          <w:sz w:val="47"/>
          <w:szCs w:val="47"/>
        </w:rPr>
      </w:pPr>
      <w:r>
        <w:rPr>
          <w:rFonts w:ascii="Helvetica" w:hAnsi="Helvetica" w:cs="Helvetica"/>
          <w:b/>
          <w:bCs/>
          <w:color w:val="333333"/>
          <w:sz w:val="47"/>
          <w:szCs w:val="47"/>
        </w:rPr>
        <w:t>Members</w:t>
      </w:r>
    </w:p>
    <w:p w:rsidR="00E7299A" w:rsidRDefault="00E7299A">
      <w:pPr>
        <w:rPr>
          <w:rFonts w:ascii="Helvetica" w:hAnsi="Helvetica" w:cs="Helvetica"/>
          <w:b/>
          <w:bCs/>
          <w:color w:val="333333"/>
          <w:sz w:val="21"/>
          <w:szCs w:val="21"/>
        </w:rPr>
      </w:pPr>
      <w:r>
        <w:rPr>
          <w:rFonts w:ascii="Helvetica" w:hAnsi="Helvetica" w:cs="Helvetica"/>
          <w:b/>
          <w:bCs/>
          <w:color w:val="333333"/>
          <w:sz w:val="21"/>
          <w:szCs w:val="21"/>
        </w:rPr>
        <w:t>Composition</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Vice President, Finance &amp; Administrative Services (1) co-chair</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Vice Presidents (2)</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Deans (2)</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Institutional Researcher (1)</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Associate Dean, Health Careers (1)</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Director, Enrollment Services (1)</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Division Chairs (9)</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Instructional Office Specialist, Classified Representative (1)</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Director, Student Services (1)</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xml:space="preserve">Faculty Representatives (1) </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lastRenderedPageBreak/>
        <w:t>Student Representative (1)</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Secretary (non-voting)</w:t>
      </w:r>
    </w:p>
    <w:p w:rsidR="00E7299A" w:rsidRDefault="00E7299A" w:rsidP="00E7299A">
      <w:pPr>
        <w:pStyle w:val="NormalWeb"/>
        <w:spacing w:before="0" w:beforeAutospacing="0" w:after="150" w:afterAutospacing="0"/>
        <w:rPr>
          <w:rFonts w:ascii="&amp;quot" w:hAnsi="&amp;quot"/>
          <w:color w:val="333333"/>
          <w:sz w:val="21"/>
          <w:szCs w:val="21"/>
        </w:rPr>
      </w:pPr>
      <w:r>
        <w:rPr>
          <w:rFonts w:ascii="&amp;quot" w:hAnsi="&amp;quot"/>
          <w:color w:val="333333"/>
          <w:sz w:val="21"/>
          <w:szCs w:val="21"/>
        </w:rPr>
        <w:t>        Total Membership 21</w:t>
      </w:r>
    </w:p>
    <w:p w:rsidR="00E7299A" w:rsidRPr="00E7299A" w:rsidRDefault="00E7299A">
      <w:pPr>
        <w:rPr>
          <w:rFonts w:ascii="Helvetica" w:hAnsi="Helvetica" w:cs="Helvetica"/>
          <w:bCs/>
          <w:color w:val="333333"/>
          <w:sz w:val="21"/>
          <w:szCs w:val="21"/>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3690"/>
      </w:tblGrid>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VP, Student Services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Primavera Arvizu</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VP, Instruction</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Gregory South</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Dean (CTE, L. Arts, Math, LRC/JEC</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Kailani Knutson</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Dean, Instructional Office (Science, Social Science, PE, Fine Arts, Library</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Joe Cascio</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Institutional Researcher</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Mike Carley</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Associate Dean, Health Careers/Nursing</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Kim Behrens</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VP, Finance &amp; Admin Srvs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Arlitha Williams-Harmon</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Director, Admissions &amp; Records/Financial Aid</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Erin Cruz</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Natural Science</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Kendra Haney</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Math</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Sherie Burgess</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Social Science</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Robert Simpkins</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Health/Physical Ed</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Vickie Dugan</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Career &amp; Technical Ed</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Tim Brown</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Fine &amp; Applied Arts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James Thompson</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Health Careers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Lupe Guillen</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Student Learning Services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Maria Roman</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Division Chair, Language Arts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Ann Marie Wagstaff</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Instructional Office Specialist, Classified Representative</w:t>
            </w:r>
          </w:p>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 </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Judy Fallert</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Director, Student Services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Diane Thompson</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Faculty</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15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Karen Bishop</w:t>
            </w:r>
          </w:p>
        </w:tc>
      </w:tr>
      <w:tr w:rsidR="00E7299A" w:rsidRPr="00E7299A" w:rsidTr="00E7299A">
        <w:tc>
          <w:tcPr>
            <w:tcW w:w="43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E7299A" w:rsidP="00E7299A">
            <w:pPr>
              <w:spacing w:after="0" w:line="240" w:lineRule="auto"/>
              <w:rPr>
                <w:rFonts w:ascii="&amp;quot" w:eastAsia="Times New Roman" w:hAnsi="&amp;quot" w:cs="Times New Roman"/>
                <w:color w:val="333333"/>
                <w:sz w:val="21"/>
                <w:szCs w:val="21"/>
              </w:rPr>
            </w:pPr>
            <w:r w:rsidRPr="00E7299A">
              <w:rPr>
                <w:rFonts w:ascii="&amp;quot" w:eastAsia="Times New Roman" w:hAnsi="&amp;quot" w:cs="Times New Roman"/>
                <w:color w:val="333333"/>
                <w:sz w:val="21"/>
                <w:szCs w:val="21"/>
              </w:rPr>
              <w:t>Student Representative</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99A" w:rsidRPr="00E7299A" w:rsidRDefault="00927542" w:rsidP="00E7299A">
            <w:pPr>
              <w:spacing w:after="0" w:line="240" w:lineRule="auto"/>
              <w:rPr>
                <w:rFonts w:ascii="&amp;quot" w:eastAsia="Times New Roman" w:hAnsi="&amp;quot" w:cs="Times New Roman"/>
                <w:color w:val="333333"/>
                <w:sz w:val="21"/>
                <w:szCs w:val="21"/>
              </w:rPr>
            </w:pPr>
            <w:hyperlink r:id="rId8" w:history="1">
              <w:r w:rsidR="00E7299A" w:rsidRPr="00E7299A">
                <w:rPr>
                  <w:rFonts w:ascii="&amp;quot" w:eastAsia="Times New Roman" w:hAnsi="&amp;quot" w:cs="Times New Roman"/>
                  <w:color w:val="0088CC"/>
                  <w:sz w:val="21"/>
                  <w:szCs w:val="21"/>
                  <w:u w:val="single"/>
                </w:rPr>
                <w:t>aspcvp@portervillecollege.edu</w:t>
              </w:r>
            </w:hyperlink>
          </w:p>
        </w:tc>
      </w:tr>
    </w:tbl>
    <w:p w:rsidR="00E7299A" w:rsidRDefault="00E7299A"/>
    <w:sectPr w:rsidR="00E729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38" w:rsidRDefault="00AE4238" w:rsidP="00AE4238">
      <w:pPr>
        <w:spacing w:after="0" w:line="240" w:lineRule="auto"/>
      </w:pPr>
      <w:r>
        <w:separator/>
      </w:r>
    </w:p>
  </w:endnote>
  <w:endnote w:type="continuationSeparator" w:id="0">
    <w:p w:rsidR="00AE4238" w:rsidRDefault="00AE4238" w:rsidP="00AE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38" w:rsidRDefault="00AE4238" w:rsidP="00AE4238">
      <w:pPr>
        <w:spacing w:after="0" w:line="240" w:lineRule="auto"/>
      </w:pPr>
      <w:r>
        <w:separator/>
      </w:r>
    </w:p>
  </w:footnote>
  <w:footnote w:type="continuationSeparator" w:id="0">
    <w:p w:rsidR="00AE4238" w:rsidRDefault="00AE4238" w:rsidP="00AE4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480062"/>
      <w:docPartObj>
        <w:docPartGallery w:val="Watermarks"/>
        <w:docPartUnique/>
      </w:docPartObj>
    </w:sdtPr>
    <w:sdtEndPr/>
    <w:sdtContent>
      <w:p w:rsidR="00EA176B" w:rsidRDefault="009275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72416"/>
    <w:multiLevelType w:val="hybridMultilevel"/>
    <w:tmpl w:val="4F5A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80"/>
    <w:rsid w:val="00232480"/>
    <w:rsid w:val="002652F3"/>
    <w:rsid w:val="007D6941"/>
    <w:rsid w:val="00927542"/>
    <w:rsid w:val="00AE4238"/>
    <w:rsid w:val="00B83B7F"/>
    <w:rsid w:val="00D52065"/>
    <w:rsid w:val="00E7299A"/>
    <w:rsid w:val="00EA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71F19C-50E1-4518-885B-8730FE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80"/>
    <w:rPr>
      <w:rFonts w:ascii="Segoe UI" w:hAnsi="Segoe UI" w:cs="Segoe UI"/>
      <w:sz w:val="18"/>
      <w:szCs w:val="18"/>
    </w:rPr>
  </w:style>
  <w:style w:type="paragraph" w:styleId="Header">
    <w:name w:val="header"/>
    <w:basedOn w:val="Normal"/>
    <w:link w:val="HeaderChar"/>
    <w:uiPriority w:val="99"/>
    <w:unhideWhenUsed/>
    <w:rsid w:val="00AE4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38"/>
  </w:style>
  <w:style w:type="paragraph" w:styleId="Footer">
    <w:name w:val="footer"/>
    <w:basedOn w:val="Normal"/>
    <w:link w:val="FooterChar"/>
    <w:uiPriority w:val="99"/>
    <w:unhideWhenUsed/>
    <w:rsid w:val="00AE4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38"/>
  </w:style>
  <w:style w:type="paragraph" w:styleId="ListParagraph">
    <w:name w:val="List Paragraph"/>
    <w:basedOn w:val="Normal"/>
    <w:uiPriority w:val="34"/>
    <w:qFormat/>
    <w:rsid w:val="007D6941"/>
    <w:pPr>
      <w:ind w:left="720"/>
      <w:contextualSpacing/>
    </w:pPr>
  </w:style>
  <w:style w:type="paragraph" w:styleId="NormalWeb">
    <w:name w:val="Normal (Web)"/>
    <w:basedOn w:val="Normal"/>
    <w:uiPriority w:val="99"/>
    <w:semiHidden/>
    <w:unhideWhenUsed/>
    <w:rsid w:val="00E729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2029">
      <w:bodyDiv w:val="1"/>
      <w:marLeft w:val="0"/>
      <w:marRight w:val="0"/>
      <w:marTop w:val="0"/>
      <w:marBottom w:val="0"/>
      <w:divBdr>
        <w:top w:val="none" w:sz="0" w:space="0" w:color="auto"/>
        <w:left w:val="none" w:sz="0" w:space="0" w:color="auto"/>
        <w:bottom w:val="none" w:sz="0" w:space="0" w:color="auto"/>
        <w:right w:val="none" w:sz="0" w:space="0" w:color="auto"/>
      </w:divBdr>
    </w:div>
    <w:div w:id="605692000">
      <w:bodyDiv w:val="1"/>
      <w:marLeft w:val="0"/>
      <w:marRight w:val="0"/>
      <w:marTop w:val="0"/>
      <w:marBottom w:val="0"/>
      <w:divBdr>
        <w:top w:val="none" w:sz="0" w:space="0" w:color="auto"/>
        <w:left w:val="none" w:sz="0" w:space="0" w:color="auto"/>
        <w:bottom w:val="none" w:sz="0" w:space="0" w:color="auto"/>
        <w:right w:val="none" w:sz="0" w:space="0" w:color="auto"/>
      </w:divBdr>
      <w:divsChild>
        <w:div w:id="1798717295">
          <w:marLeft w:val="0"/>
          <w:marRight w:val="0"/>
          <w:marTop w:val="0"/>
          <w:marBottom w:val="0"/>
          <w:divBdr>
            <w:top w:val="none" w:sz="0" w:space="0" w:color="auto"/>
            <w:left w:val="none" w:sz="0" w:space="0" w:color="auto"/>
            <w:bottom w:val="none" w:sz="0" w:space="0" w:color="auto"/>
            <w:right w:val="none" w:sz="0" w:space="0" w:color="auto"/>
          </w:divBdr>
          <w:divsChild>
            <w:div w:id="1273246533">
              <w:marLeft w:val="0"/>
              <w:marRight w:val="0"/>
              <w:marTop w:val="0"/>
              <w:marBottom w:val="0"/>
              <w:divBdr>
                <w:top w:val="none" w:sz="0" w:space="0" w:color="auto"/>
                <w:left w:val="none" w:sz="0" w:space="0" w:color="auto"/>
                <w:bottom w:val="none" w:sz="0" w:space="0" w:color="auto"/>
                <w:right w:val="none" w:sz="0" w:space="0" w:color="auto"/>
              </w:divBdr>
              <w:divsChild>
                <w:div w:id="968048806">
                  <w:marLeft w:val="0"/>
                  <w:marRight w:val="0"/>
                  <w:marTop w:val="0"/>
                  <w:marBottom w:val="0"/>
                  <w:divBdr>
                    <w:top w:val="none" w:sz="0" w:space="0" w:color="auto"/>
                    <w:left w:val="none" w:sz="0" w:space="0" w:color="auto"/>
                    <w:bottom w:val="none" w:sz="0" w:space="0" w:color="auto"/>
                    <w:right w:val="none" w:sz="0" w:space="0" w:color="auto"/>
                  </w:divBdr>
                  <w:divsChild>
                    <w:div w:id="1181434659">
                      <w:marLeft w:val="0"/>
                      <w:marRight w:val="0"/>
                      <w:marTop w:val="0"/>
                      <w:marBottom w:val="0"/>
                      <w:divBdr>
                        <w:top w:val="none" w:sz="0" w:space="0" w:color="auto"/>
                        <w:left w:val="none" w:sz="0" w:space="0" w:color="auto"/>
                        <w:bottom w:val="none" w:sz="0" w:space="0" w:color="auto"/>
                        <w:right w:val="none" w:sz="0" w:space="0" w:color="auto"/>
                      </w:divBdr>
                      <w:divsChild>
                        <w:div w:id="737098678">
                          <w:marLeft w:val="0"/>
                          <w:marRight w:val="0"/>
                          <w:marTop w:val="0"/>
                          <w:marBottom w:val="0"/>
                          <w:divBdr>
                            <w:top w:val="none" w:sz="0" w:space="0" w:color="auto"/>
                            <w:left w:val="none" w:sz="0" w:space="0" w:color="auto"/>
                            <w:bottom w:val="none" w:sz="0" w:space="0" w:color="auto"/>
                            <w:right w:val="none" w:sz="0" w:space="0" w:color="auto"/>
                          </w:divBdr>
                          <w:divsChild>
                            <w:div w:id="1813330088">
                              <w:marLeft w:val="0"/>
                              <w:marRight w:val="0"/>
                              <w:marTop w:val="0"/>
                              <w:marBottom w:val="0"/>
                              <w:divBdr>
                                <w:top w:val="none" w:sz="0" w:space="0" w:color="auto"/>
                                <w:left w:val="none" w:sz="0" w:space="0" w:color="auto"/>
                                <w:bottom w:val="none" w:sz="0" w:space="0" w:color="auto"/>
                                <w:right w:val="none" w:sz="0" w:space="0" w:color="auto"/>
                              </w:divBdr>
                              <w:divsChild>
                                <w:div w:id="886725304">
                                  <w:marLeft w:val="0"/>
                                  <w:marRight w:val="0"/>
                                  <w:marTop w:val="0"/>
                                  <w:marBottom w:val="0"/>
                                  <w:divBdr>
                                    <w:top w:val="none" w:sz="0" w:space="0" w:color="auto"/>
                                    <w:left w:val="none" w:sz="0" w:space="0" w:color="auto"/>
                                    <w:bottom w:val="none" w:sz="0" w:space="0" w:color="auto"/>
                                    <w:right w:val="none" w:sz="0" w:space="0" w:color="auto"/>
                                  </w:divBdr>
                                  <w:divsChild>
                                    <w:div w:id="1666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5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cvp@porterville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3FC59-44C5-4F8F-B7D5-9558E6D8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Plunk</dc:creator>
  <cp:keywords/>
  <dc:description/>
  <cp:lastModifiedBy>Miranda Warren</cp:lastModifiedBy>
  <cp:revision>2</cp:revision>
  <cp:lastPrinted>2019-12-02T22:55:00Z</cp:lastPrinted>
  <dcterms:created xsi:type="dcterms:W3CDTF">2019-12-03T22:51:00Z</dcterms:created>
  <dcterms:modified xsi:type="dcterms:W3CDTF">2019-12-03T22:51:00Z</dcterms:modified>
</cp:coreProperties>
</file>